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XSpec="center" w:tblpY="1129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5C4C56" w14:paraId="11237934" w14:textId="77777777" w:rsidTr="00F47779">
        <w:trPr>
          <w:trHeight w:val="14449"/>
        </w:trPr>
        <w:tc>
          <w:tcPr>
            <w:tcW w:w="11199" w:type="dxa"/>
          </w:tcPr>
          <w:p w14:paraId="7C23F6DA" w14:textId="77777777" w:rsidR="005C4C56" w:rsidRDefault="00910F60" w:rsidP="00F477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POLIZZE </w:t>
            </w:r>
            <w:r w:rsidR="00530856" w:rsidRPr="00530856">
              <w:rPr>
                <w:b/>
                <w:bCs/>
                <w:sz w:val="32"/>
                <w:szCs w:val="32"/>
              </w:rPr>
              <w:t>COPERTURA DANNI DA EVENTI NATURALI CATASTROFALI</w:t>
            </w:r>
          </w:p>
          <w:p w14:paraId="0AC1F7F1" w14:textId="75EA16C8" w:rsidR="00910F60" w:rsidRPr="00910F60" w:rsidRDefault="00910F60" w:rsidP="00F47779">
            <w:pPr>
              <w:jc w:val="center"/>
              <w:rPr>
                <w:b/>
                <w:bCs/>
                <w:sz w:val="32"/>
                <w:szCs w:val="32"/>
              </w:rPr>
            </w:pPr>
            <w:r w:rsidRPr="00910F60">
              <w:rPr>
                <w:rFonts w:ascii="Segoe UI" w:hAnsi="Segoe UI" w:cs="Segoe UI"/>
                <w:b/>
                <w:bCs/>
                <w:color w:val="FFFFFF"/>
                <w:shd w:val="clear" w:color="auto" w:fill="292929"/>
              </w:rPr>
              <w:t>OBBLIGO</w:t>
            </w:r>
            <w:r>
              <w:rPr>
                <w:rFonts w:ascii="Segoe UI" w:hAnsi="Segoe UI" w:cs="Segoe UI"/>
                <w:b/>
                <w:bCs/>
                <w:color w:val="FFFFFF"/>
                <w:shd w:val="clear" w:color="auto" w:fill="292929"/>
              </w:rPr>
              <w:t xml:space="preserve"> di</w:t>
            </w:r>
            <w:r w:rsidRPr="00910F60">
              <w:rPr>
                <w:rFonts w:ascii="Segoe UI" w:hAnsi="Segoe UI" w:cs="Segoe UI"/>
                <w:b/>
                <w:bCs/>
                <w:color w:val="FFFFFF"/>
                <w:shd w:val="clear" w:color="auto" w:fill="292929"/>
              </w:rPr>
              <w:t xml:space="preserve"> stipula entro il 31</w:t>
            </w:r>
            <w:r w:rsidR="008B3E12">
              <w:rPr>
                <w:rFonts w:ascii="Segoe UI" w:hAnsi="Segoe UI" w:cs="Segoe UI"/>
                <w:b/>
                <w:bCs/>
                <w:color w:val="FFFFFF"/>
                <w:shd w:val="clear" w:color="auto" w:fill="292929"/>
              </w:rPr>
              <w:t xml:space="preserve"> MARZO </w:t>
            </w:r>
            <w:r w:rsidRPr="00910F60">
              <w:rPr>
                <w:rFonts w:ascii="Segoe UI" w:hAnsi="Segoe UI" w:cs="Segoe UI"/>
                <w:b/>
                <w:bCs/>
                <w:color w:val="FFFFFF"/>
                <w:shd w:val="clear" w:color="auto" w:fill="292929"/>
              </w:rPr>
              <w:t>2025</w:t>
            </w:r>
          </w:p>
          <w:p w14:paraId="4E519E02" w14:textId="77777777" w:rsidR="00910F60" w:rsidRDefault="00910F60" w:rsidP="00F47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(Decreto Legge 27.12.2024, n.202)</w:t>
            </w:r>
          </w:p>
          <w:p w14:paraId="2C279B2E" w14:textId="77777777" w:rsidR="00910F60" w:rsidRDefault="00910F60" w:rsidP="00F47779">
            <w:pPr>
              <w:rPr>
                <w:sz w:val="24"/>
                <w:szCs w:val="24"/>
              </w:rPr>
            </w:pPr>
          </w:p>
          <w:p w14:paraId="0678EF22" w14:textId="77777777" w:rsidR="00F47779" w:rsidRDefault="00F47779" w:rsidP="00F47779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F47779">
              <w:rPr>
                <w:b/>
                <w:bCs/>
                <w:sz w:val="24"/>
                <w:szCs w:val="24"/>
                <w:u w:val="single"/>
              </w:rPr>
              <w:t>SCADENZA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87AA066" w14:textId="77777777" w:rsidR="00F47779" w:rsidRPr="00F47779" w:rsidRDefault="00F47779" w:rsidP="00F47779">
            <w:pPr>
              <w:pStyle w:val="Paragrafoelenco"/>
              <w:rPr>
                <w:b/>
                <w:bCs/>
                <w:sz w:val="24"/>
                <w:szCs w:val="24"/>
              </w:rPr>
            </w:pPr>
          </w:p>
          <w:p w14:paraId="436859F9" w14:textId="77777777" w:rsidR="00910F60" w:rsidRPr="00910F60" w:rsidRDefault="00F47779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</w:t>
            </w:r>
            <w:r w:rsidR="00910F60"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ntro il </w:t>
            </w:r>
            <w:r w:rsidR="00910F60"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it-IT"/>
              </w:rPr>
              <w:t>31 marzo 2025</w:t>
            </w:r>
            <w:r w:rsidR="00910F60"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 tutte le imprese</w:t>
            </w:r>
            <w:r w:rsidR="00910F60"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  <w:r w:rsidR="00910F60" w:rsidRPr="00910F6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it-IT"/>
              </w:rPr>
              <w:t>con sede legale in Italia</w:t>
            </w:r>
            <w:r w:rsidR="00910F60"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, o stabile organizzazione nel territorio nazionale e </w:t>
            </w:r>
            <w:r w:rsidR="00910F60"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it-IT"/>
              </w:rPr>
              <w:t>iscritte al Registro delle Imprese</w:t>
            </w:r>
            <w:r w:rsidR="00910F60" w:rsidRPr="00910F6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it-IT"/>
              </w:rPr>
              <w:t>,</w:t>
            </w:r>
            <w:r w:rsidR="00910F60"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sono tenute a stipulare l'assicurazione obbligatoria contro i danni da calamità naturali ed eventi catastrofali</w:t>
            </w:r>
            <w:r w:rsid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.</w:t>
            </w:r>
          </w:p>
          <w:p w14:paraId="15507509" w14:textId="3078FCC7" w:rsidR="00910F60" w:rsidRPr="00910F60" w:rsidRDefault="00910F60" w:rsidP="00F47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È quanto indicato all'art. 13 dal Decreto Milleproroghe (decreto-legge 27 dicembre 2024, n. 202)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che ha rinviato la 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scadenza di tale obblig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o </w:t>
            </w:r>
            <w:r w:rsidRPr="00910F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dal 31.12.2024 al 31.03.2025</w:t>
            </w:r>
            <w:r w:rsidR="008B3E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</w:t>
            </w:r>
          </w:p>
          <w:p w14:paraId="4AA68A00" w14:textId="77777777" w:rsid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  <w:p w14:paraId="7208F086" w14:textId="77777777" w:rsidR="00F47779" w:rsidRDefault="00F47779" w:rsidP="00F47779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477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it-IT"/>
              </w:rPr>
              <w:t>COPERTURE DELLA POLIZZA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: </w:t>
            </w:r>
          </w:p>
          <w:p w14:paraId="5C002C4E" w14:textId="77777777" w:rsidR="00F47779" w:rsidRPr="00F47779" w:rsidRDefault="00F47779" w:rsidP="00F47779">
            <w:pPr>
              <w:pStyle w:val="Paragrafoelenco"/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0DB08E45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La copertura assicurativa riguarda i danni diretti subiti a seguito di eventi calamitosi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-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catastrofali ai beni di cui all’art. 2424 primo comma della norma (sezione Attivo, voce B-II, numeri 1), 2) e 3) del Codice Civile).</w:t>
            </w:r>
          </w:p>
          <w:p w14:paraId="494EB00D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Il Decreto dettaglia le immobilizzazioni materiali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da assicurare </w:t>
            </w: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A QUALSIASI TITOLO IMPIEGATE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nell’esercizio dell’impresa, come segue:</w:t>
            </w:r>
          </w:p>
          <w:p w14:paraId="6AC4CB65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  <w:p w14:paraId="1ABBD861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· terreni e fabbricati; </w:t>
            </w:r>
          </w:p>
          <w:p w14:paraId="3368D04A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· impianti e macchinari;</w:t>
            </w:r>
          </w:p>
          <w:p w14:paraId="570B728F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· attrezzature industriali e commerciali.</w:t>
            </w:r>
          </w:p>
          <w:p w14:paraId="6D36C352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68F005CA" w14:textId="77777777" w:rsid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 imprese, dunque, devono obbligatoriamente 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it-IT"/>
              </w:rPr>
              <w:t>stipulare una polizza assicurativa entro il 31 marzo 2025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  <w:p w14:paraId="5B1B10E4" w14:textId="77777777" w:rsid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a copertura dei danni diretti 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ai beni immobili causati da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 seguenti eventi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:</w:t>
            </w:r>
          </w:p>
          <w:p w14:paraId="3863D3FE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68C896F4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·</w:t>
            </w:r>
            <w:r w:rsidR="00536ABE" w:rsidRPr="00536A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Terremoto (sisma)</w:t>
            </w:r>
          </w:p>
          <w:p w14:paraId="72540D1E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· </w:t>
            </w:r>
            <w:r w:rsidR="00536ABE" w:rsidRPr="00536A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A</w:t>
            </w: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lluvion</w:t>
            </w:r>
            <w:r w:rsidR="00536ABE" w:rsidRPr="00536A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e, inondazione ed esondazione</w:t>
            </w: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1D88291E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· </w:t>
            </w:r>
            <w:r w:rsidR="00536ABE" w:rsidRPr="00536A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F</w:t>
            </w: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ran</w:t>
            </w:r>
            <w:r w:rsidR="00536ABE" w:rsidRPr="00536A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a</w:t>
            </w:r>
          </w:p>
          <w:p w14:paraId="0B9E2910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 </w:t>
            </w:r>
          </w:p>
          <w:p w14:paraId="4D99F107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Tali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polizze potranno essere integrate con </w:t>
            </w: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garanzie accessorie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a copertura di </w:t>
            </w: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danni indiretti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o perdita di profitti.</w:t>
            </w:r>
          </w:p>
          <w:p w14:paraId="25C06572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  </w:t>
            </w:r>
          </w:p>
          <w:p w14:paraId="6100A054" w14:textId="25ED891C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Oltre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allo specifico obbligo per </w:t>
            </w:r>
            <w:r w:rsidR="008B3E1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sopra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 elenco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, la polizza potrà prevedere la copertura </w:t>
            </w:r>
            <w:r w:rsidR="009321C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per 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ulteriori eventi come trombe d'aria, grandine</w:t>
            </w:r>
            <w:r w:rsidR="008B3E1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, 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incendi boschivi, blackout, tali da compromettere la continuità operativa delle aziende.</w:t>
            </w:r>
          </w:p>
          <w:p w14:paraId="70138F27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  <w:p w14:paraId="3967C6CD" w14:textId="77777777" w:rsidR="00910F60" w:rsidRPr="00F47779" w:rsidRDefault="00F47779" w:rsidP="00F47779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47779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it-IT"/>
              </w:rPr>
              <w:t>POSSIBILI SANZIONI PER LE IMPRESE</w:t>
            </w:r>
            <w:r w:rsidR="00910F60" w:rsidRPr="00F477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:</w:t>
            </w:r>
          </w:p>
          <w:p w14:paraId="5D427539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  <w:p w14:paraId="5997E1E0" w14:textId="24B1B8A9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 imprese che al 31</w:t>
            </w:r>
            <w:r w:rsidR="009321C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marzo 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2025 non avranno sottoscritto una copertura coerente con le richieste del Decreto, potranno essere </w:t>
            </w: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ESCLUSE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dall’assegnazione di contributi, sovvenzioni o agevolazioni di carattere finanziario su risorse pubbliche,</w:t>
            </w:r>
            <w:r w:rsidRPr="00910F6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ANCHE 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per quelle previste </w:t>
            </w:r>
            <w:r w:rsidR="009321C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al verificarsi di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eventi calamitosi e catastrofali.</w:t>
            </w:r>
          </w:p>
          <w:p w14:paraId="32C123DF" w14:textId="77777777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3689DF27" w14:textId="39BCF90C" w:rsidR="00910F60" w:rsidRP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Pertanto, non sono previste sanzioni a titolo diretto, ma esclusioni da </w:t>
            </w:r>
            <w:r w:rsidR="009321C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eventuali contributi pubblici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, sovvenzioni</w:t>
            </w:r>
            <w:r w:rsidR="008B3E1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o</w:t>
            </w:r>
            <w:r w:rsidR="009321C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aiuti </w:t>
            </w:r>
            <w:r w:rsidR="008B3E12"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statali,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oltre a </w:t>
            </w:r>
            <w:r w:rsidR="009321C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possibili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penalizzazioni nella partecipazione a bandi</w:t>
            </w:r>
            <w:r w:rsidR="009321C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e 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appalti pubblici,</w:t>
            </w:r>
            <w:r w:rsidR="008B3E1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come</w:t>
            </w:r>
            <w:r w:rsidR="009321C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 parte del sistema bancario.</w:t>
            </w:r>
          </w:p>
          <w:p w14:paraId="6242BD66" w14:textId="77777777" w:rsidR="00910F60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10F6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  <w:p w14:paraId="3568D0EA" w14:textId="17ABF8D0" w:rsidR="00910F60" w:rsidRPr="00F47779" w:rsidRDefault="00910F60" w:rsidP="00F4777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18ED6B5A" w14:textId="77777777" w:rsidR="005C4C56" w:rsidRDefault="005C4C56"/>
    <w:sectPr w:rsidR="005C4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1304"/>
    <w:multiLevelType w:val="hybridMultilevel"/>
    <w:tmpl w:val="7AC65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8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56"/>
    <w:rsid w:val="00135866"/>
    <w:rsid w:val="00530856"/>
    <w:rsid w:val="00536ABE"/>
    <w:rsid w:val="005C4C56"/>
    <w:rsid w:val="008B3E12"/>
    <w:rsid w:val="00910F60"/>
    <w:rsid w:val="009321CC"/>
    <w:rsid w:val="00F47779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4BF6"/>
  <w15:chartTrackingRefBased/>
  <w15:docId w15:val="{9FC71195-3DD1-4A24-AB59-2140660C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C4C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5C4C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5C4C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foelenco">
    <w:name w:val="List Paragraph"/>
    <w:basedOn w:val="Normale"/>
    <w:uiPriority w:val="34"/>
    <w:qFormat/>
    <w:rsid w:val="00F4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Adinolfi Noemi</dc:creator>
  <cp:keywords/>
  <dc:description/>
  <cp:lastModifiedBy>Talaia Andrea</cp:lastModifiedBy>
  <cp:revision>4</cp:revision>
  <cp:lastPrinted>2025-03-13T14:28:00Z</cp:lastPrinted>
  <dcterms:created xsi:type="dcterms:W3CDTF">2025-03-13T14:58:00Z</dcterms:created>
  <dcterms:modified xsi:type="dcterms:W3CDTF">2025-03-13T15:01:00Z</dcterms:modified>
</cp:coreProperties>
</file>